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157" w:afterLines="50" w:afterAutospacing="0" w:line="360" w:lineRule="auto"/>
        <w:ind w:left="151" w:leftChars="-102" w:hanging="365" w:hangingChars="101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/>
        </w:rPr>
      </w:pPr>
      <w:bookmarkStart w:id="0" w:name="_Toc491365780"/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/>
        </w:rPr>
        <w:t>项目实施方案</w:t>
      </w:r>
    </w:p>
    <w:p>
      <w:pPr>
        <w:pStyle w:val="2"/>
        <w:spacing w:before="156" w:beforeLines="50" w:beforeAutospacing="0" w:afterAutospacing="0"/>
        <w:ind w:left="70" w:leftChars="-102" w:hanging="284" w:hangingChars="101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  <w:t>一、项目概要</w:t>
      </w:r>
      <w:bookmarkEnd w:id="0"/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（同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任务书）</w:t>
      </w:r>
    </w:p>
    <w:p>
      <w:pPr>
        <w:pStyle w:val="2"/>
        <w:spacing w:before="156" w:beforeLines="50" w:beforeAutospacing="0" w:afterAutospacing="0"/>
        <w:ind w:left="70" w:leftChars="-102" w:hanging="284" w:hangingChars="101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</w:pPr>
      <w:bookmarkStart w:id="1" w:name="_Toc491365781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  <w:t>二、项目任务分解及主要研究工作</w:t>
      </w:r>
      <w:bookmarkEnd w:id="1"/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（同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任务书）</w:t>
      </w:r>
    </w:p>
    <w:p>
      <w:pPr>
        <w:pStyle w:val="2"/>
        <w:spacing w:before="156" w:beforeLines="50" w:beforeAutospacing="0" w:afterAutospacing="0"/>
        <w:ind w:left="70" w:leftChars="-102" w:hanging="284" w:hangingChars="101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</w:pPr>
      <w:bookmarkStart w:id="2" w:name="_Toc491267707"/>
      <w:bookmarkEnd w:id="2"/>
      <w:bookmarkStart w:id="3" w:name="_Toc490217863"/>
      <w:bookmarkEnd w:id="3"/>
      <w:bookmarkStart w:id="4" w:name="_Toc491267711"/>
      <w:bookmarkEnd w:id="4"/>
      <w:bookmarkStart w:id="5" w:name="_Toc491267705"/>
      <w:bookmarkEnd w:id="5"/>
      <w:bookmarkStart w:id="6" w:name="_Toc491267848"/>
      <w:bookmarkEnd w:id="6"/>
      <w:bookmarkStart w:id="7" w:name="_Toc490219482"/>
      <w:bookmarkEnd w:id="7"/>
      <w:bookmarkStart w:id="8" w:name="_Toc491267706"/>
      <w:bookmarkEnd w:id="8"/>
      <w:bookmarkStart w:id="9" w:name="_Toc491267708"/>
      <w:bookmarkEnd w:id="9"/>
      <w:bookmarkStart w:id="10" w:name="_Toc491267843"/>
      <w:bookmarkEnd w:id="10"/>
      <w:bookmarkStart w:id="11" w:name="_Toc491267851"/>
      <w:bookmarkEnd w:id="11"/>
      <w:bookmarkStart w:id="12" w:name="_Toc491267715"/>
      <w:bookmarkEnd w:id="12"/>
      <w:bookmarkStart w:id="13" w:name="_Toc491267845"/>
      <w:bookmarkEnd w:id="13"/>
      <w:bookmarkStart w:id="14" w:name="_Toc490217862"/>
      <w:bookmarkEnd w:id="14"/>
      <w:bookmarkStart w:id="15" w:name="_Toc490220014"/>
      <w:bookmarkEnd w:id="15"/>
      <w:bookmarkStart w:id="16" w:name="_Toc491267771"/>
      <w:bookmarkEnd w:id="16"/>
      <w:bookmarkStart w:id="17" w:name="_Toc490220209"/>
      <w:bookmarkEnd w:id="17"/>
      <w:bookmarkStart w:id="18" w:name="_Toc491267906"/>
      <w:bookmarkEnd w:id="18"/>
      <w:bookmarkStart w:id="19" w:name="_Toc491267712"/>
      <w:bookmarkEnd w:id="19"/>
      <w:bookmarkStart w:id="20" w:name="_Toc491267849"/>
      <w:bookmarkEnd w:id="20"/>
      <w:bookmarkStart w:id="21" w:name="_Toc491267850"/>
      <w:bookmarkEnd w:id="21"/>
      <w:bookmarkStart w:id="22" w:name="_Toc491267713"/>
      <w:bookmarkEnd w:id="22"/>
      <w:bookmarkStart w:id="23" w:name="_Toc491267770"/>
      <w:bookmarkEnd w:id="23"/>
      <w:bookmarkStart w:id="24" w:name="_Toc491267907"/>
      <w:bookmarkEnd w:id="24"/>
      <w:bookmarkStart w:id="25" w:name="_Toc491267841"/>
      <w:bookmarkEnd w:id="25"/>
      <w:bookmarkStart w:id="26" w:name="_Toc490215260"/>
      <w:bookmarkEnd w:id="26"/>
      <w:bookmarkStart w:id="27" w:name="_Toc490220015"/>
      <w:bookmarkEnd w:id="27"/>
      <w:bookmarkStart w:id="28" w:name="_Toc491267716"/>
      <w:bookmarkEnd w:id="28"/>
      <w:bookmarkStart w:id="29" w:name="_Toc491267846"/>
      <w:bookmarkEnd w:id="29"/>
      <w:bookmarkStart w:id="30" w:name="_Toc491267709"/>
      <w:bookmarkEnd w:id="30"/>
      <w:bookmarkStart w:id="31" w:name="_Toc491267842"/>
      <w:bookmarkEnd w:id="31"/>
      <w:bookmarkStart w:id="32" w:name="_Toc490219930"/>
      <w:bookmarkEnd w:id="32"/>
      <w:bookmarkStart w:id="33" w:name="_Toc490215259"/>
      <w:bookmarkEnd w:id="33"/>
      <w:bookmarkStart w:id="34" w:name="_Toc491267710"/>
      <w:bookmarkEnd w:id="34"/>
      <w:bookmarkStart w:id="35" w:name="_Toc491267714"/>
      <w:bookmarkEnd w:id="35"/>
      <w:bookmarkStart w:id="36" w:name="_Toc490220210"/>
      <w:bookmarkEnd w:id="36"/>
      <w:bookmarkStart w:id="37" w:name="_Toc491267852"/>
      <w:bookmarkEnd w:id="37"/>
      <w:bookmarkStart w:id="38" w:name="_Toc491267847"/>
      <w:bookmarkEnd w:id="38"/>
      <w:bookmarkStart w:id="39" w:name="_Toc490219929"/>
      <w:bookmarkEnd w:id="39"/>
      <w:bookmarkStart w:id="40" w:name="_Toc491267844"/>
      <w:bookmarkEnd w:id="40"/>
      <w:bookmarkStart w:id="41" w:name="_Toc490219483"/>
      <w:bookmarkEnd w:id="41"/>
      <w:bookmarkStart w:id="42" w:name="_Toc491365782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  <w:t>三、项目实施关键节点与具体实施计划</w:t>
      </w:r>
      <w:bookmarkEnd w:id="42"/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以图表表述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的总体实施技术路线和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各主要任务单元的分工接口。</w:t>
      </w:r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以文字</w:t>
      </w:r>
      <w:r>
        <w:rPr>
          <w:rFonts w:hint="eastAsia" w:eastAsia="仿宋"/>
          <w:sz w:val="28"/>
          <w:szCs w:val="28"/>
          <w:lang w:val="en-US" w:eastAsia="zh-CN"/>
        </w:rPr>
        <w:t>细化项目</w:t>
      </w:r>
      <w:r>
        <w:rPr>
          <w:rFonts w:hint="eastAsia" w:eastAsia="仿宋"/>
          <w:sz w:val="28"/>
          <w:szCs w:val="28"/>
        </w:rPr>
        <w:t>阶段目标、</w:t>
      </w:r>
      <w:r>
        <w:rPr>
          <w:rFonts w:hint="eastAsia" w:eastAsia="仿宋"/>
          <w:sz w:val="28"/>
          <w:szCs w:val="28"/>
          <w:lang w:val="en-US" w:eastAsia="zh-CN"/>
        </w:rPr>
        <w:t>目标</w:t>
      </w:r>
      <w:r>
        <w:rPr>
          <w:rFonts w:hint="eastAsia" w:eastAsia="仿宋"/>
          <w:sz w:val="28"/>
          <w:szCs w:val="28"/>
        </w:rPr>
        <w:t>实现路径或步骤，以及对应时间节点（如有应用示范的要求，请在其中一并表述）。</w:t>
      </w:r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明确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经费安排及自筹经费落实方案。</w:t>
      </w:r>
    </w:p>
    <w:p>
      <w:pPr>
        <w:pStyle w:val="2"/>
        <w:spacing w:before="156" w:beforeLines="50" w:beforeAutospacing="0" w:afterAutospacing="0"/>
        <w:ind w:left="70" w:leftChars="-102" w:hanging="284" w:hangingChars="101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</w:pPr>
      <w:bookmarkStart w:id="43" w:name="_Toc491267775"/>
      <w:bookmarkEnd w:id="43"/>
      <w:bookmarkStart w:id="44" w:name="_Toc490220269"/>
      <w:bookmarkEnd w:id="44"/>
      <w:bookmarkStart w:id="45" w:name="_Toc490220214"/>
      <w:bookmarkEnd w:id="45"/>
      <w:bookmarkStart w:id="46" w:name="_Toc491267910"/>
      <w:bookmarkEnd w:id="46"/>
      <w:bookmarkStart w:id="47" w:name="_Toc491267773"/>
      <w:bookmarkEnd w:id="47"/>
      <w:bookmarkStart w:id="48" w:name="_Toc491267776"/>
      <w:bookmarkEnd w:id="48"/>
      <w:bookmarkStart w:id="49" w:name="_Toc490219934"/>
      <w:bookmarkEnd w:id="49"/>
      <w:bookmarkStart w:id="50" w:name="_Toc490219487"/>
      <w:bookmarkEnd w:id="50"/>
      <w:bookmarkStart w:id="51" w:name="_Toc491267909"/>
      <w:bookmarkEnd w:id="51"/>
      <w:bookmarkStart w:id="52" w:name="_Toc490220074"/>
      <w:bookmarkEnd w:id="52"/>
      <w:bookmarkStart w:id="53" w:name="_Toc491267774"/>
      <w:bookmarkEnd w:id="53"/>
      <w:bookmarkStart w:id="54" w:name="_Toc490211144"/>
      <w:bookmarkEnd w:id="54"/>
      <w:bookmarkStart w:id="55" w:name="_Toc491267777"/>
      <w:bookmarkEnd w:id="55"/>
      <w:bookmarkStart w:id="56" w:name="_Toc490220019"/>
      <w:bookmarkEnd w:id="56"/>
      <w:bookmarkStart w:id="57" w:name="_Toc491267912"/>
      <w:bookmarkEnd w:id="57"/>
      <w:bookmarkStart w:id="58" w:name="_Toc491267913"/>
      <w:bookmarkEnd w:id="58"/>
      <w:bookmarkStart w:id="59" w:name="_Toc490219989"/>
      <w:bookmarkEnd w:id="59"/>
      <w:bookmarkStart w:id="60" w:name="_Toc491267826"/>
      <w:bookmarkEnd w:id="60"/>
      <w:bookmarkStart w:id="61" w:name="_Toc491267911"/>
      <w:bookmarkEnd w:id="61"/>
      <w:bookmarkStart w:id="62" w:name="_Toc490217867"/>
      <w:bookmarkEnd w:id="62"/>
      <w:bookmarkStart w:id="63" w:name="_Toc490165867"/>
      <w:bookmarkEnd w:id="63"/>
      <w:bookmarkStart w:id="64" w:name="_Toc490215264"/>
      <w:bookmarkEnd w:id="64"/>
      <w:bookmarkStart w:id="65" w:name="_Toc491267962"/>
      <w:bookmarkEnd w:id="65"/>
      <w:bookmarkStart w:id="66" w:name="_Toc491365784"/>
      <w:bookmarkStart w:id="67" w:name="_Toc491295464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  <w:t>四、项目成果呈现形式及测试方法</w:t>
      </w:r>
      <w:bookmarkEnd w:id="66"/>
      <w:bookmarkEnd w:id="67"/>
    </w:p>
    <w:p>
      <w:pPr>
        <w:ind w:firstLine="540"/>
        <w:rPr>
          <w:rFonts w:hint="eastAsia" w:eastAsia="仿宋"/>
          <w:sz w:val="28"/>
          <w:szCs w:val="28"/>
        </w:rPr>
      </w:pPr>
      <w:bookmarkStart w:id="68" w:name="_Toc491295465"/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成果最终交付</w:t>
      </w:r>
      <w:bookmarkEnd w:id="68"/>
      <w:r>
        <w:rPr>
          <w:rFonts w:hint="eastAsia" w:eastAsia="仿宋"/>
          <w:sz w:val="28"/>
          <w:szCs w:val="28"/>
        </w:rPr>
        <w:t>形式、</w:t>
      </w:r>
      <w:bookmarkStart w:id="69" w:name="_Toc491295466"/>
      <w:r>
        <w:rPr>
          <w:rFonts w:hint="eastAsia" w:eastAsia="仿宋"/>
          <w:sz w:val="28"/>
          <w:szCs w:val="28"/>
        </w:rPr>
        <w:t>定量指标的测试与检验方法</w:t>
      </w:r>
      <w:bookmarkEnd w:id="69"/>
      <w:r>
        <w:rPr>
          <w:rFonts w:hint="eastAsia" w:eastAsia="仿宋"/>
          <w:sz w:val="28"/>
          <w:szCs w:val="28"/>
        </w:rPr>
        <w:t>等。</w:t>
      </w:r>
    </w:p>
    <w:tbl>
      <w:tblPr>
        <w:tblStyle w:val="7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50"/>
        <w:gridCol w:w="256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4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考核指标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评价手段/方法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具体考核要求</w:t>
            </w: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项目指南KPI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申报书KPI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  <w:t>任务书KPI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before="156" w:beforeLines="50" w:beforeAutospacing="0" w:afterAutospacing="0"/>
        <w:ind w:left="70" w:leftChars="-102" w:hanging="284" w:hangingChars="101"/>
        <w:jc w:val="both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</w:pPr>
      <w:bookmarkStart w:id="70" w:name="_Toc491365783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/>
        </w:rPr>
        <w:t>五、项目组织管理机制</w:t>
      </w:r>
      <w:bookmarkEnd w:id="70"/>
    </w:p>
    <w:p>
      <w:pPr>
        <w:ind w:firstLine="54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包括：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bookmarkStart w:id="71" w:name="_GoBack"/>
      <w:bookmarkEnd w:id="71"/>
      <w:r>
        <w:rPr>
          <w:rFonts w:hint="eastAsia" w:eastAsia="仿宋"/>
          <w:sz w:val="28"/>
          <w:szCs w:val="28"/>
        </w:rPr>
        <w:t>的内部管理机构和管理制度；</w:t>
      </w:r>
      <w:r>
        <w:rPr>
          <w:rFonts w:hint="eastAsia" w:eastAsia="仿宋"/>
          <w:sz w:val="28"/>
          <w:szCs w:val="28"/>
          <w:lang w:val="en-US" w:eastAsia="zh-CN"/>
        </w:rPr>
        <w:t>项目</w:t>
      </w:r>
      <w:r>
        <w:rPr>
          <w:rFonts w:hint="eastAsia" w:eastAsia="仿宋"/>
          <w:sz w:val="28"/>
          <w:szCs w:val="28"/>
        </w:rPr>
        <w:t>在实施过程中的风险应对及应对措施等。要求措施等可行，且具有明确的针对性。</w:t>
      </w:r>
    </w:p>
    <w:p>
      <w:pPr>
        <w:pStyle w:val="9"/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1440" w:right="1797" w:bottom="1440" w:left="1797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drawing>
        <wp:inline distT="0" distB="0" distL="0" distR="0">
          <wp:extent cx="862965" cy="816610"/>
          <wp:effectExtent l="0" t="0" r="13335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9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OWRlYzUzZmIwZDFmMzY4YzZlYWNlOGVkNTJkZDkifQ=="/>
  </w:docVars>
  <w:rsids>
    <w:rsidRoot w:val="00000000"/>
    <w:rsid w:val="05B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3"/>
    <w:basedOn w:val="1"/>
    <w:autoRedefine/>
    <w:qFormat/>
    <w:uiPriority w:val="34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4"/>
    <w:basedOn w:val="1"/>
    <w:next w:val="1"/>
    <w:autoRedefine/>
    <w:qFormat/>
    <w:uiPriority w:val="99"/>
    <w:pPr>
      <w:spacing w:line="400" w:lineRule="exact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2024-01-08T06:59:05Z</dcterms:created>
  <dc:creator>gaoruijun</dc:creator>
  <cp:lastModifiedBy>高瑞军</cp:lastModifiedBy>
  <dcterms:modified xsi:type="dcterms:W3CDTF">2024-01-08T07:01:00Z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FEB8E20DE3DD4F84B2D9F96E4C0DA003_12</vt:lpwstr>
  </property>
</Properties>
</file>